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300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蔬菜条线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有关补贴管理细则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300" w:lineRule="auto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一、耕地地力保护补贴（蔬菜农资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、约束性任务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</w:t>
      </w:r>
    </w:p>
    <w:p>
      <w:pPr>
        <w:spacing w:line="580" w:lineRule="exact"/>
        <w:ind w:firstLine="643" w:firstLineChars="200"/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（一）补贴对象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本市范围内从事常年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菜田</w:t>
      </w:r>
      <w:r>
        <w:rPr>
          <w:rFonts w:hint="eastAsia" w:ascii="仿宋_GB2312" w:hAnsi="仿宋_GB2312" w:eastAsia="仿宋_GB2312" w:cs="仿宋_GB2312"/>
          <w:sz w:val="32"/>
          <w:szCs w:val="32"/>
        </w:rPr>
        <w:t>约束性任务的蔬菜种植生产的农户、家庭农场、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农民专业合作社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、农业企业和其他农业经营主体。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（二）分配测算方式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按照蔬菜实际种植面积，采取后补助的方式予以补贴分配。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（三）补贴标准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涉农区具体标准由各区自行制定。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市属企业（单位）补贴50元/亩。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（四）考核办法</w:t>
      </w:r>
    </w:p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对照市级下达蔬菜常年种植任务面积指标，未完成种植面积的按比例扣减。</w:t>
      </w:r>
    </w:p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二、耕地地力保护补贴（蔬菜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上网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补贴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、约束性任务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</w:t>
      </w:r>
    </w:p>
    <w:p>
      <w:pPr>
        <w:spacing w:line="580" w:lineRule="exact"/>
        <w:ind w:firstLine="643" w:firstLineChars="200"/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（一）补贴对象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0" w:firstLineChars="200"/>
        <w:rPr>
          <w:rFonts w:hint="eastAsia" w:ascii="楷体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本市农业生产作业信息直报体系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、实施生产过程电子化管理的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0亩以上规模的农户、家庭农场、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农民专业合作社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、农业企业和其他农业经营主体。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（二）分配测算方式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对照本市农业生产作业信息直报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中实际完成全生产周期的蔬菜并符合条件的种植亩次测算，采取后补助的方式予以补贴分配。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绿叶菜单位面积全年补贴上限为5个亩次，其中夏季绿叶菜上市（6月1日--9月30日）2亩次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，冬季绿叶菜上市（12月1日--3月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亩次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。绿叶菜和其他蔬菜轮作的合并计算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，最高上限为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5个亩次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其他蔬菜单位面积全年补贴上限为1亩次。多年生蔬菜按年1个亩次计算，季节性菜田种植绿叶菜符合“两淡”期间上市条件并纳入计划的可纳入补贴范围，套种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、间作</w:t>
      </w:r>
      <w:r>
        <w:rPr>
          <w:rFonts w:hint="eastAsia" w:ascii="仿宋_GB2312" w:hAnsi="仿宋_GB2312" w:eastAsia="仿宋_GB2312" w:cs="仿宋_GB2312"/>
          <w:sz w:val="32"/>
          <w:szCs w:val="32"/>
        </w:rPr>
        <w:t>蔬菜不纳入补贴范围。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（三）补贴标准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涉农区具体标准由各区自行制定。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市属企业（单位）上网绿叶菜种植补贴1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0元/亩次，其他上网蔬菜种植补贴50元/亩次。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（四）考核办法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市、区、镇各级各类生产大检查、执法检查和生产信息核查等常规工作，加强对蔬菜种植面积数据的核查。其中：补贴对象出现1次种植品种不实信息，按实际情况扣减补贴资金；不实信息超过1次以上的，扣除全部补贴资金的50%；有恶意骗补行为的，按照有关法律、法规的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三、地膜回收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（指导性任务）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（一）补贴对象</w:t>
      </w:r>
    </w:p>
    <w:p>
      <w:pPr>
        <w:adjustRightInd w:val="0"/>
        <w:snapToGrid w:val="0"/>
        <w:spacing w:line="58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各涉农区，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以及有关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市属企业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（二）分配测算方式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对各涉农区按照基础因素和考核因素进行分配，基础因素（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蔬菜及其他作物地膜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回收数量</w:t>
      </w:r>
      <w:r>
        <w:rPr>
          <w:rFonts w:hint="eastAsia" w:ascii="仿宋_GB2312" w:hAnsi="仿宋_GB2312" w:eastAsia="仿宋_GB2312" w:cs="仿宋_GB2312"/>
          <w:sz w:val="32"/>
          <w:szCs w:val="32"/>
        </w:rPr>
        <w:t>）占70%、考核因素占30%。市属企业（单位）采用直接补贴方式，先预拨后清算。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（三）补贴标准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涉农区具体标准由各区自行制定。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市属企业（单位）补贴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00元/吨。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（四）考核办法</w:t>
      </w:r>
      <w:r>
        <w:rPr>
          <w:rFonts w:hint="eastAsia"/>
        </w:rPr>
        <w:t xml:space="preserve">  </w:t>
      </w:r>
    </w:p>
    <w:tbl>
      <w:tblPr>
        <w:tblStyle w:val="1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054"/>
        <w:gridCol w:w="5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7" w:type="dxa"/>
            <w:vAlign w:val="center"/>
          </w:tcPr>
          <w:p>
            <w:pPr>
              <w:numPr>
                <w:ilvl w:val="255"/>
                <w:numId w:val="0"/>
              </w:numPr>
              <w:pBdr>
                <w:top w:val="none" w:color="auto" w:sz="0" w:space="1"/>
                <w:bottom w:val="none" w:color="auto" w:sz="0" w:space="1"/>
                <w:between w:val="none" w:color="auto" w:sz="0" w:space="1"/>
              </w:pBdr>
              <w:adjustRightInd w:val="0"/>
              <w:snapToGrid w:val="0"/>
              <w:spacing w:beforeLines="-2147483648" w:afterLines="-2147483648" w:line="58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考核内容</w:t>
            </w:r>
          </w:p>
        </w:tc>
        <w:tc>
          <w:tcPr>
            <w:tcW w:w="1054" w:type="dxa"/>
            <w:vAlign w:val="center"/>
          </w:tcPr>
          <w:p>
            <w:pPr>
              <w:numPr>
                <w:ilvl w:val="255"/>
                <w:numId w:val="0"/>
              </w:numPr>
              <w:pBdr>
                <w:top w:val="none" w:color="auto" w:sz="0" w:space="1"/>
                <w:bottom w:val="none" w:color="auto" w:sz="0" w:space="1"/>
                <w:between w:val="none" w:color="auto" w:sz="0" w:space="1"/>
              </w:pBdr>
              <w:adjustRightInd w:val="0"/>
              <w:snapToGrid w:val="0"/>
              <w:spacing w:beforeLines="-2147483648" w:afterLines="-2147483648" w:line="58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5839" w:type="dxa"/>
            <w:vAlign w:val="center"/>
          </w:tcPr>
          <w:p>
            <w:pPr>
              <w:numPr>
                <w:ilvl w:val="255"/>
                <w:numId w:val="0"/>
              </w:numPr>
              <w:pBdr>
                <w:top w:val="none" w:color="auto" w:sz="0" w:space="1"/>
                <w:bottom w:val="none" w:color="auto" w:sz="0" w:space="1"/>
                <w:between w:val="none" w:color="auto" w:sz="0" w:space="1"/>
              </w:pBdr>
              <w:adjustRightInd w:val="0"/>
              <w:snapToGrid w:val="0"/>
              <w:spacing w:beforeLines="-2147483648" w:afterLines="-2147483648" w:line="58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地膜回收机制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50分</w:t>
            </w:r>
          </w:p>
        </w:tc>
        <w:tc>
          <w:tcPr>
            <w:tcW w:w="583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有回收点和回收相关制度的，得50分。否则不得分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地膜回收率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50分</w:t>
            </w:r>
          </w:p>
        </w:tc>
        <w:tc>
          <w:tcPr>
            <w:tcW w:w="583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地膜回收率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达标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，得50分；未达标按同比例扣分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5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580" w:lineRule="exact"/>
        <w:ind w:firstLine="640" w:firstLineChars="200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每年市农业农村委对照上述内容和标准组织考核，根据考核结果按比例分配资金。</w:t>
      </w:r>
    </w:p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30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300" w:lineRule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altName w:val="Cambria Math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仿宋_GB2312" w:hAnsi="仿宋_GB2312" w:eastAsia="仿宋_GB2312" w:cs="仿宋_GB2312"/>
      </w:rPr>
    </w:pP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Fonts w:hint="eastAsia" w:ascii="仿宋_GB2312" w:hAnsi="仿宋_GB2312" w:eastAsia="仿宋_GB2312" w:cs="仿宋_GB2312"/>
        <w:sz w:val="24"/>
        <w:szCs w:val="24"/>
      </w:rPr>
      <w:instrText xml:space="preserve">PAGE   \* MERGEFORMAT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Fonts w:hint="eastAsia" w:ascii="仿宋_GB2312" w:hAnsi="仿宋_GB2312" w:eastAsia="仿宋_GB2312" w:cs="仿宋_GB2312"/>
        <w:sz w:val="24"/>
        <w:szCs w:val="24"/>
        <w:lang w:val="zh-CN"/>
      </w:rPr>
      <w:t>-</w:t>
    </w:r>
    <w:r>
      <w:rPr>
        <w:rFonts w:hint="eastAsia" w:ascii="仿宋_GB2312" w:hAnsi="仿宋_GB2312" w:eastAsia="仿宋_GB2312" w:cs="仿宋_GB2312"/>
        <w:sz w:val="24"/>
        <w:szCs w:val="24"/>
      </w:rPr>
      <w:t xml:space="preserve"> 4 -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mU3ODBhNjNmMzM1ZWY3YmI4MzliOTY3NGMxNzMifQ=="/>
  </w:docVars>
  <w:rsids>
    <w:rsidRoot w:val="00172A27"/>
    <w:rsid w:val="00007549"/>
    <w:rsid w:val="00057105"/>
    <w:rsid w:val="0006635F"/>
    <w:rsid w:val="00075523"/>
    <w:rsid w:val="00080623"/>
    <w:rsid w:val="00091A82"/>
    <w:rsid w:val="00093202"/>
    <w:rsid w:val="000B4758"/>
    <w:rsid w:val="000B5CE9"/>
    <w:rsid w:val="000C1957"/>
    <w:rsid w:val="000D64D6"/>
    <w:rsid w:val="000E56DD"/>
    <w:rsid w:val="000F653E"/>
    <w:rsid w:val="00113B32"/>
    <w:rsid w:val="0013216B"/>
    <w:rsid w:val="001332A2"/>
    <w:rsid w:val="00142C5B"/>
    <w:rsid w:val="00151328"/>
    <w:rsid w:val="00153146"/>
    <w:rsid w:val="00163791"/>
    <w:rsid w:val="0018215A"/>
    <w:rsid w:val="001B07A9"/>
    <w:rsid w:val="001C10F7"/>
    <w:rsid w:val="001E2A3C"/>
    <w:rsid w:val="0020708C"/>
    <w:rsid w:val="00221F79"/>
    <w:rsid w:val="002247D5"/>
    <w:rsid w:val="00225686"/>
    <w:rsid w:val="002257AA"/>
    <w:rsid w:val="00230BAB"/>
    <w:rsid w:val="00232394"/>
    <w:rsid w:val="00244A80"/>
    <w:rsid w:val="00283507"/>
    <w:rsid w:val="0028540D"/>
    <w:rsid w:val="002932D2"/>
    <w:rsid w:val="002B13B2"/>
    <w:rsid w:val="002C6D28"/>
    <w:rsid w:val="002D71A2"/>
    <w:rsid w:val="002E5D40"/>
    <w:rsid w:val="002F517B"/>
    <w:rsid w:val="002F79C3"/>
    <w:rsid w:val="00300352"/>
    <w:rsid w:val="003037E3"/>
    <w:rsid w:val="00317B08"/>
    <w:rsid w:val="00322452"/>
    <w:rsid w:val="00345F52"/>
    <w:rsid w:val="003512EB"/>
    <w:rsid w:val="00371217"/>
    <w:rsid w:val="0038619C"/>
    <w:rsid w:val="003918ED"/>
    <w:rsid w:val="003A1087"/>
    <w:rsid w:val="003A4E0D"/>
    <w:rsid w:val="003D3AEE"/>
    <w:rsid w:val="003D71DA"/>
    <w:rsid w:val="003E398C"/>
    <w:rsid w:val="0041651F"/>
    <w:rsid w:val="004170E3"/>
    <w:rsid w:val="00436967"/>
    <w:rsid w:val="00445E61"/>
    <w:rsid w:val="00470249"/>
    <w:rsid w:val="004774CA"/>
    <w:rsid w:val="004A0E34"/>
    <w:rsid w:val="004A16EB"/>
    <w:rsid w:val="004A6C8E"/>
    <w:rsid w:val="004B224F"/>
    <w:rsid w:val="004B60CB"/>
    <w:rsid w:val="004C61A5"/>
    <w:rsid w:val="004E58EB"/>
    <w:rsid w:val="00540560"/>
    <w:rsid w:val="0054191A"/>
    <w:rsid w:val="005542D8"/>
    <w:rsid w:val="00557C4A"/>
    <w:rsid w:val="0056548E"/>
    <w:rsid w:val="005851A7"/>
    <w:rsid w:val="005879BB"/>
    <w:rsid w:val="00592AD8"/>
    <w:rsid w:val="00597672"/>
    <w:rsid w:val="005A04B9"/>
    <w:rsid w:val="005A05AC"/>
    <w:rsid w:val="005C5F1A"/>
    <w:rsid w:val="00602A5F"/>
    <w:rsid w:val="00603FB2"/>
    <w:rsid w:val="00614B1B"/>
    <w:rsid w:val="00636355"/>
    <w:rsid w:val="006441F7"/>
    <w:rsid w:val="0066569A"/>
    <w:rsid w:val="0069018C"/>
    <w:rsid w:val="006956B6"/>
    <w:rsid w:val="006966DB"/>
    <w:rsid w:val="006D22F6"/>
    <w:rsid w:val="0071745A"/>
    <w:rsid w:val="00727B68"/>
    <w:rsid w:val="00736832"/>
    <w:rsid w:val="007443DB"/>
    <w:rsid w:val="00754132"/>
    <w:rsid w:val="00765D48"/>
    <w:rsid w:val="00785C5B"/>
    <w:rsid w:val="007A4FCC"/>
    <w:rsid w:val="00804687"/>
    <w:rsid w:val="00830554"/>
    <w:rsid w:val="00860C31"/>
    <w:rsid w:val="00861373"/>
    <w:rsid w:val="008808A4"/>
    <w:rsid w:val="008834AD"/>
    <w:rsid w:val="008A21F2"/>
    <w:rsid w:val="008B324F"/>
    <w:rsid w:val="008B5037"/>
    <w:rsid w:val="008E1BFE"/>
    <w:rsid w:val="0090349D"/>
    <w:rsid w:val="00921F69"/>
    <w:rsid w:val="00957FBF"/>
    <w:rsid w:val="00972033"/>
    <w:rsid w:val="00974370"/>
    <w:rsid w:val="00986829"/>
    <w:rsid w:val="009A344D"/>
    <w:rsid w:val="009A3E3D"/>
    <w:rsid w:val="009A714F"/>
    <w:rsid w:val="009C0F01"/>
    <w:rsid w:val="009C6E45"/>
    <w:rsid w:val="009E4D36"/>
    <w:rsid w:val="009E6712"/>
    <w:rsid w:val="009E71EB"/>
    <w:rsid w:val="00A03D5C"/>
    <w:rsid w:val="00A2349A"/>
    <w:rsid w:val="00A86651"/>
    <w:rsid w:val="00A91F9A"/>
    <w:rsid w:val="00AA2755"/>
    <w:rsid w:val="00AA3C43"/>
    <w:rsid w:val="00AD355D"/>
    <w:rsid w:val="00B0057C"/>
    <w:rsid w:val="00B21774"/>
    <w:rsid w:val="00B2372E"/>
    <w:rsid w:val="00B303CC"/>
    <w:rsid w:val="00B4773A"/>
    <w:rsid w:val="00B55056"/>
    <w:rsid w:val="00B576B0"/>
    <w:rsid w:val="00B7040E"/>
    <w:rsid w:val="00B70F56"/>
    <w:rsid w:val="00B83FA4"/>
    <w:rsid w:val="00B85A55"/>
    <w:rsid w:val="00B95F48"/>
    <w:rsid w:val="00BA070C"/>
    <w:rsid w:val="00BD2BC1"/>
    <w:rsid w:val="00BD726E"/>
    <w:rsid w:val="00BE4083"/>
    <w:rsid w:val="00C032A0"/>
    <w:rsid w:val="00C4781A"/>
    <w:rsid w:val="00C578F3"/>
    <w:rsid w:val="00C7137B"/>
    <w:rsid w:val="00C82D91"/>
    <w:rsid w:val="00C9704B"/>
    <w:rsid w:val="00CE3F25"/>
    <w:rsid w:val="00CF04E7"/>
    <w:rsid w:val="00D07A94"/>
    <w:rsid w:val="00D10E35"/>
    <w:rsid w:val="00D139DD"/>
    <w:rsid w:val="00D46B2E"/>
    <w:rsid w:val="00D5077B"/>
    <w:rsid w:val="00D72058"/>
    <w:rsid w:val="00D747F4"/>
    <w:rsid w:val="00D76207"/>
    <w:rsid w:val="00D83681"/>
    <w:rsid w:val="00D91308"/>
    <w:rsid w:val="00D9134F"/>
    <w:rsid w:val="00DB0323"/>
    <w:rsid w:val="00DB1B1F"/>
    <w:rsid w:val="00DF1494"/>
    <w:rsid w:val="00E108FB"/>
    <w:rsid w:val="00E10F9E"/>
    <w:rsid w:val="00E17AD4"/>
    <w:rsid w:val="00E57DFE"/>
    <w:rsid w:val="00E87BE1"/>
    <w:rsid w:val="00EB2D23"/>
    <w:rsid w:val="00EC5024"/>
    <w:rsid w:val="00ED1ADC"/>
    <w:rsid w:val="00EE3D2A"/>
    <w:rsid w:val="00F015BB"/>
    <w:rsid w:val="00F04AC6"/>
    <w:rsid w:val="00F065BF"/>
    <w:rsid w:val="00F21D32"/>
    <w:rsid w:val="00F24540"/>
    <w:rsid w:val="00F420E2"/>
    <w:rsid w:val="00F5089F"/>
    <w:rsid w:val="00F523D9"/>
    <w:rsid w:val="00F54EEB"/>
    <w:rsid w:val="00F61236"/>
    <w:rsid w:val="00F62F40"/>
    <w:rsid w:val="00F76468"/>
    <w:rsid w:val="00F827A1"/>
    <w:rsid w:val="00F96ED4"/>
    <w:rsid w:val="00F97D95"/>
    <w:rsid w:val="00FA1458"/>
    <w:rsid w:val="00FA4AB7"/>
    <w:rsid w:val="00FB626F"/>
    <w:rsid w:val="00FC09E4"/>
    <w:rsid w:val="00FC35C3"/>
    <w:rsid w:val="00FC7B9B"/>
    <w:rsid w:val="00FD0DD2"/>
    <w:rsid w:val="00FE0343"/>
    <w:rsid w:val="00FE7506"/>
    <w:rsid w:val="00FE7B94"/>
    <w:rsid w:val="014B299E"/>
    <w:rsid w:val="0154431D"/>
    <w:rsid w:val="015B6D94"/>
    <w:rsid w:val="02F528AE"/>
    <w:rsid w:val="033C0E47"/>
    <w:rsid w:val="03AD36F3"/>
    <w:rsid w:val="03CD7589"/>
    <w:rsid w:val="03F35149"/>
    <w:rsid w:val="04021749"/>
    <w:rsid w:val="043E3FA9"/>
    <w:rsid w:val="04963AF9"/>
    <w:rsid w:val="04DD4060"/>
    <w:rsid w:val="052E5570"/>
    <w:rsid w:val="05C8363E"/>
    <w:rsid w:val="06472967"/>
    <w:rsid w:val="07222102"/>
    <w:rsid w:val="07711CD3"/>
    <w:rsid w:val="083E766D"/>
    <w:rsid w:val="085E1CD7"/>
    <w:rsid w:val="090A3444"/>
    <w:rsid w:val="09344189"/>
    <w:rsid w:val="0A260724"/>
    <w:rsid w:val="0A8F44F2"/>
    <w:rsid w:val="0A9203B7"/>
    <w:rsid w:val="0A971727"/>
    <w:rsid w:val="0B0C41E8"/>
    <w:rsid w:val="0C03126A"/>
    <w:rsid w:val="0C162945"/>
    <w:rsid w:val="0C23044F"/>
    <w:rsid w:val="0C66659F"/>
    <w:rsid w:val="0C711B61"/>
    <w:rsid w:val="0CD34483"/>
    <w:rsid w:val="0E113A2B"/>
    <w:rsid w:val="0E16012B"/>
    <w:rsid w:val="0E1E706B"/>
    <w:rsid w:val="0E213AB4"/>
    <w:rsid w:val="0F0C2281"/>
    <w:rsid w:val="0F1A0CF6"/>
    <w:rsid w:val="0FE063E3"/>
    <w:rsid w:val="10B120D8"/>
    <w:rsid w:val="11512CCE"/>
    <w:rsid w:val="11832D4E"/>
    <w:rsid w:val="11B02080"/>
    <w:rsid w:val="11F45FB0"/>
    <w:rsid w:val="12274290"/>
    <w:rsid w:val="12477DE8"/>
    <w:rsid w:val="127B352E"/>
    <w:rsid w:val="132B1CEC"/>
    <w:rsid w:val="133C6A47"/>
    <w:rsid w:val="133D73EB"/>
    <w:rsid w:val="13E461AC"/>
    <w:rsid w:val="13E917BC"/>
    <w:rsid w:val="14212543"/>
    <w:rsid w:val="142770F9"/>
    <w:rsid w:val="14A327B9"/>
    <w:rsid w:val="15B3534A"/>
    <w:rsid w:val="15B96955"/>
    <w:rsid w:val="15C745A0"/>
    <w:rsid w:val="160341EC"/>
    <w:rsid w:val="163E583C"/>
    <w:rsid w:val="16E65936"/>
    <w:rsid w:val="17AE3C6A"/>
    <w:rsid w:val="18257825"/>
    <w:rsid w:val="183C27A4"/>
    <w:rsid w:val="1A5E4E25"/>
    <w:rsid w:val="1A6E28D7"/>
    <w:rsid w:val="1AAB2F95"/>
    <w:rsid w:val="1AE259D8"/>
    <w:rsid w:val="1AFA61F7"/>
    <w:rsid w:val="1B2916B0"/>
    <w:rsid w:val="1B473E8A"/>
    <w:rsid w:val="1BC20255"/>
    <w:rsid w:val="1C346875"/>
    <w:rsid w:val="1CCD3A2D"/>
    <w:rsid w:val="1CD2380D"/>
    <w:rsid w:val="1CEC203E"/>
    <w:rsid w:val="1D4C1D00"/>
    <w:rsid w:val="1E14059F"/>
    <w:rsid w:val="1EFC7338"/>
    <w:rsid w:val="1F5841B0"/>
    <w:rsid w:val="1F600EF4"/>
    <w:rsid w:val="1F650917"/>
    <w:rsid w:val="1FA10AF7"/>
    <w:rsid w:val="2000527E"/>
    <w:rsid w:val="20436365"/>
    <w:rsid w:val="20541ED3"/>
    <w:rsid w:val="2123170B"/>
    <w:rsid w:val="226A468C"/>
    <w:rsid w:val="22CD1DF5"/>
    <w:rsid w:val="22D714E6"/>
    <w:rsid w:val="22DA438E"/>
    <w:rsid w:val="22E32AC6"/>
    <w:rsid w:val="232F479A"/>
    <w:rsid w:val="235B07E8"/>
    <w:rsid w:val="23C12F77"/>
    <w:rsid w:val="23E90190"/>
    <w:rsid w:val="24183029"/>
    <w:rsid w:val="24A106B2"/>
    <w:rsid w:val="24A40533"/>
    <w:rsid w:val="24FC3B0F"/>
    <w:rsid w:val="24FD666B"/>
    <w:rsid w:val="254F0A2C"/>
    <w:rsid w:val="255C1C10"/>
    <w:rsid w:val="25912038"/>
    <w:rsid w:val="25E95B40"/>
    <w:rsid w:val="2613738E"/>
    <w:rsid w:val="261B1591"/>
    <w:rsid w:val="262B76DC"/>
    <w:rsid w:val="270F7097"/>
    <w:rsid w:val="27650F56"/>
    <w:rsid w:val="277D5695"/>
    <w:rsid w:val="278C093A"/>
    <w:rsid w:val="279708BE"/>
    <w:rsid w:val="281C3F91"/>
    <w:rsid w:val="2861241C"/>
    <w:rsid w:val="2867400C"/>
    <w:rsid w:val="288617DA"/>
    <w:rsid w:val="289064B1"/>
    <w:rsid w:val="2966246B"/>
    <w:rsid w:val="29D0438F"/>
    <w:rsid w:val="29EA00E0"/>
    <w:rsid w:val="2A0239A1"/>
    <w:rsid w:val="2A9245B2"/>
    <w:rsid w:val="2AAA44B9"/>
    <w:rsid w:val="2B193418"/>
    <w:rsid w:val="2B3C7238"/>
    <w:rsid w:val="2B592CD9"/>
    <w:rsid w:val="2B5C534E"/>
    <w:rsid w:val="2B606CE7"/>
    <w:rsid w:val="2BB062B4"/>
    <w:rsid w:val="2BD62F1E"/>
    <w:rsid w:val="2C1254DA"/>
    <w:rsid w:val="2C75274E"/>
    <w:rsid w:val="2C866CA3"/>
    <w:rsid w:val="2CAF7BCB"/>
    <w:rsid w:val="2CE33F5E"/>
    <w:rsid w:val="2D111486"/>
    <w:rsid w:val="2D507DA6"/>
    <w:rsid w:val="2D765316"/>
    <w:rsid w:val="2DC35FDF"/>
    <w:rsid w:val="2DEF425D"/>
    <w:rsid w:val="2E220771"/>
    <w:rsid w:val="2F6534D3"/>
    <w:rsid w:val="2FCD6B8E"/>
    <w:rsid w:val="301A5A52"/>
    <w:rsid w:val="30323B6F"/>
    <w:rsid w:val="309F50A0"/>
    <w:rsid w:val="30CD47A2"/>
    <w:rsid w:val="31A10D36"/>
    <w:rsid w:val="31AF2049"/>
    <w:rsid w:val="31E15E01"/>
    <w:rsid w:val="31EE6801"/>
    <w:rsid w:val="324A5C7D"/>
    <w:rsid w:val="332E13B2"/>
    <w:rsid w:val="335476E5"/>
    <w:rsid w:val="339E296C"/>
    <w:rsid w:val="33E800AC"/>
    <w:rsid w:val="3445254C"/>
    <w:rsid w:val="344A6CE9"/>
    <w:rsid w:val="34776311"/>
    <w:rsid w:val="348320CD"/>
    <w:rsid w:val="354E6161"/>
    <w:rsid w:val="35AB53F4"/>
    <w:rsid w:val="35F628E7"/>
    <w:rsid w:val="36604C25"/>
    <w:rsid w:val="37EC6351"/>
    <w:rsid w:val="382F1001"/>
    <w:rsid w:val="389B56ED"/>
    <w:rsid w:val="390D3054"/>
    <w:rsid w:val="39FD5B25"/>
    <w:rsid w:val="3A254313"/>
    <w:rsid w:val="3A663AD8"/>
    <w:rsid w:val="3A873DDC"/>
    <w:rsid w:val="3AF306B1"/>
    <w:rsid w:val="3AFC4F2B"/>
    <w:rsid w:val="3AFF6615"/>
    <w:rsid w:val="3AFF6974"/>
    <w:rsid w:val="3B0A02FF"/>
    <w:rsid w:val="3B975F95"/>
    <w:rsid w:val="3BB77BFA"/>
    <w:rsid w:val="3C3A23F0"/>
    <w:rsid w:val="3C795D45"/>
    <w:rsid w:val="3C9B21A9"/>
    <w:rsid w:val="3D7242CB"/>
    <w:rsid w:val="3E1B7573"/>
    <w:rsid w:val="3E220AB4"/>
    <w:rsid w:val="3E264AC1"/>
    <w:rsid w:val="3E321A0D"/>
    <w:rsid w:val="3EA72862"/>
    <w:rsid w:val="3EFA44B1"/>
    <w:rsid w:val="3F357656"/>
    <w:rsid w:val="3FE3F499"/>
    <w:rsid w:val="402C317B"/>
    <w:rsid w:val="403B6F04"/>
    <w:rsid w:val="409851FE"/>
    <w:rsid w:val="40F50979"/>
    <w:rsid w:val="41AB14D1"/>
    <w:rsid w:val="422254C1"/>
    <w:rsid w:val="42576932"/>
    <w:rsid w:val="42644FFC"/>
    <w:rsid w:val="42776AE2"/>
    <w:rsid w:val="42CB613C"/>
    <w:rsid w:val="42E03A31"/>
    <w:rsid w:val="43062B1F"/>
    <w:rsid w:val="4313381B"/>
    <w:rsid w:val="432A5FEB"/>
    <w:rsid w:val="432D7889"/>
    <w:rsid w:val="435710D2"/>
    <w:rsid w:val="437E5DA8"/>
    <w:rsid w:val="44915833"/>
    <w:rsid w:val="44E657D4"/>
    <w:rsid w:val="45AD6149"/>
    <w:rsid w:val="45B27BB8"/>
    <w:rsid w:val="462A7692"/>
    <w:rsid w:val="46390F3F"/>
    <w:rsid w:val="463A1FEF"/>
    <w:rsid w:val="46A94FA9"/>
    <w:rsid w:val="46E90772"/>
    <w:rsid w:val="471072A6"/>
    <w:rsid w:val="472D42FC"/>
    <w:rsid w:val="479A4817"/>
    <w:rsid w:val="47B131F2"/>
    <w:rsid w:val="47FF42A6"/>
    <w:rsid w:val="484C049B"/>
    <w:rsid w:val="48A543B3"/>
    <w:rsid w:val="48FA6535"/>
    <w:rsid w:val="4900334A"/>
    <w:rsid w:val="49221471"/>
    <w:rsid w:val="494F3EF3"/>
    <w:rsid w:val="4979696A"/>
    <w:rsid w:val="49DD2D48"/>
    <w:rsid w:val="4A53572F"/>
    <w:rsid w:val="4A8C2BF4"/>
    <w:rsid w:val="4ABC721F"/>
    <w:rsid w:val="4ACF7614"/>
    <w:rsid w:val="4AE4512D"/>
    <w:rsid w:val="4BFB5A47"/>
    <w:rsid w:val="4C053AF5"/>
    <w:rsid w:val="4C59431F"/>
    <w:rsid w:val="4C9F5986"/>
    <w:rsid w:val="4D0E79C4"/>
    <w:rsid w:val="4DC62BBF"/>
    <w:rsid w:val="4E0B62AA"/>
    <w:rsid w:val="4F1B16DA"/>
    <w:rsid w:val="4F264677"/>
    <w:rsid w:val="4F7925BE"/>
    <w:rsid w:val="4FBE5B21"/>
    <w:rsid w:val="4FD80B7D"/>
    <w:rsid w:val="502B3135"/>
    <w:rsid w:val="50A00148"/>
    <w:rsid w:val="50BD2394"/>
    <w:rsid w:val="50D67F0E"/>
    <w:rsid w:val="51890380"/>
    <w:rsid w:val="51B25198"/>
    <w:rsid w:val="51B37E5B"/>
    <w:rsid w:val="51DB636D"/>
    <w:rsid w:val="51F42457"/>
    <w:rsid w:val="52611198"/>
    <w:rsid w:val="52700DB7"/>
    <w:rsid w:val="52E767E5"/>
    <w:rsid w:val="53320784"/>
    <w:rsid w:val="53594B4C"/>
    <w:rsid w:val="53893BAB"/>
    <w:rsid w:val="539D59E7"/>
    <w:rsid w:val="53A126D1"/>
    <w:rsid w:val="53CE0B03"/>
    <w:rsid w:val="547C3685"/>
    <w:rsid w:val="552D1D44"/>
    <w:rsid w:val="55865495"/>
    <w:rsid w:val="55F34FE9"/>
    <w:rsid w:val="56C4030F"/>
    <w:rsid w:val="57466532"/>
    <w:rsid w:val="575168F3"/>
    <w:rsid w:val="57563B3B"/>
    <w:rsid w:val="5760480F"/>
    <w:rsid w:val="57763155"/>
    <w:rsid w:val="57C245EC"/>
    <w:rsid w:val="57C8226C"/>
    <w:rsid w:val="581346E7"/>
    <w:rsid w:val="582279D9"/>
    <w:rsid w:val="58B7265F"/>
    <w:rsid w:val="58D1543A"/>
    <w:rsid w:val="590D3057"/>
    <w:rsid w:val="598F71DF"/>
    <w:rsid w:val="59911482"/>
    <w:rsid w:val="5A3660F8"/>
    <w:rsid w:val="5AEC60A8"/>
    <w:rsid w:val="5B0B63B9"/>
    <w:rsid w:val="5B121884"/>
    <w:rsid w:val="5B5F52E3"/>
    <w:rsid w:val="5BB73BBF"/>
    <w:rsid w:val="5C4F1935"/>
    <w:rsid w:val="5C521DF2"/>
    <w:rsid w:val="5C8C02C7"/>
    <w:rsid w:val="5CBB0F9F"/>
    <w:rsid w:val="5D343854"/>
    <w:rsid w:val="5D3C0EAA"/>
    <w:rsid w:val="5D464C8B"/>
    <w:rsid w:val="5DB5195F"/>
    <w:rsid w:val="5E2C703C"/>
    <w:rsid w:val="5E2D1EC0"/>
    <w:rsid w:val="5E57075B"/>
    <w:rsid w:val="5E57387E"/>
    <w:rsid w:val="5EC03709"/>
    <w:rsid w:val="5EDD61AF"/>
    <w:rsid w:val="5EFA3BBC"/>
    <w:rsid w:val="5FCE3087"/>
    <w:rsid w:val="601B6F8F"/>
    <w:rsid w:val="60850A3B"/>
    <w:rsid w:val="60A61B01"/>
    <w:rsid w:val="614B7978"/>
    <w:rsid w:val="61E52423"/>
    <w:rsid w:val="62585FE5"/>
    <w:rsid w:val="62851B11"/>
    <w:rsid w:val="63155F18"/>
    <w:rsid w:val="6425303C"/>
    <w:rsid w:val="643B2EFE"/>
    <w:rsid w:val="649966D5"/>
    <w:rsid w:val="64DF5616"/>
    <w:rsid w:val="64E52F3A"/>
    <w:rsid w:val="65E07311"/>
    <w:rsid w:val="66417693"/>
    <w:rsid w:val="667A7CFC"/>
    <w:rsid w:val="66BA1B08"/>
    <w:rsid w:val="66F025F9"/>
    <w:rsid w:val="68394457"/>
    <w:rsid w:val="689217BA"/>
    <w:rsid w:val="69001CCB"/>
    <w:rsid w:val="6A332F92"/>
    <w:rsid w:val="6A596146"/>
    <w:rsid w:val="6B28432F"/>
    <w:rsid w:val="6B55128C"/>
    <w:rsid w:val="6BD9090F"/>
    <w:rsid w:val="6C5C191A"/>
    <w:rsid w:val="6C9D6917"/>
    <w:rsid w:val="6CDC685A"/>
    <w:rsid w:val="6D157649"/>
    <w:rsid w:val="6D205AC7"/>
    <w:rsid w:val="6D28736D"/>
    <w:rsid w:val="6D965955"/>
    <w:rsid w:val="6DAD505F"/>
    <w:rsid w:val="6DDF094F"/>
    <w:rsid w:val="6DF225EA"/>
    <w:rsid w:val="6E02232C"/>
    <w:rsid w:val="6E223208"/>
    <w:rsid w:val="6E492D20"/>
    <w:rsid w:val="6E757E40"/>
    <w:rsid w:val="6EAA39A4"/>
    <w:rsid w:val="6ECC4578"/>
    <w:rsid w:val="6EFF6E6A"/>
    <w:rsid w:val="6F0159B0"/>
    <w:rsid w:val="6F1270F8"/>
    <w:rsid w:val="6F7C3FA0"/>
    <w:rsid w:val="6F8027FA"/>
    <w:rsid w:val="6F983C13"/>
    <w:rsid w:val="6FCB556A"/>
    <w:rsid w:val="6FCD045F"/>
    <w:rsid w:val="701230BE"/>
    <w:rsid w:val="70417D1A"/>
    <w:rsid w:val="706944D3"/>
    <w:rsid w:val="707C55F2"/>
    <w:rsid w:val="70B154D8"/>
    <w:rsid w:val="7129001A"/>
    <w:rsid w:val="71F22F7C"/>
    <w:rsid w:val="72AB337C"/>
    <w:rsid w:val="72FB055A"/>
    <w:rsid w:val="738E1250"/>
    <w:rsid w:val="73E117A6"/>
    <w:rsid w:val="75160070"/>
    <w:rsid w:val="75A54C36"/>
    <w:rsid w:val="76395FB7"/>
    <w:rsid w:val="765B7CD8"/>
    <w:rsid w:val="768B48BB"/>
    <w:rsid w:val="76FC4768"/>
    <w:rsid w:val="77025C02"/>
    <w:rsid w:val="771E3EF8"/>
    <w:rsid w:val="775B5EAD"/>
    <w:rsid w:val="77E715B8"/>
    <w:rsid w:val="77F2264F"/>
    <w:rsid w:val="79AD13BB"/>
    <w:rsid w:val="7A016FA2"/>
    <w:rsid w:val="7AA615FD"/>
    <w:rsid w:val="7B92798D"/>
    <w:rsid w:val="7BAD0F8C"/>
    <w:rsid w:val="7BB309E9"/>
    <w:rsid w:val="7BBD7AEE"/>
    <w:rsid w:val="7C1A4147"/>
    <w:rsid w:val="7C456945"/>
    <w:rsid w:val="7C4D342B"/>
    <w:rsid w:val="7C641ED9"/>
    <w:rsid w:val="7CAC7402"/>
    <w:rsid w:val="7D060D93"/>
    <w:rsid w:val="7D096956"/>
    <w:rsid w:val="7D37155B"/>
    <w:rsid w:val="7D4A7BE3"/>
    <w:rsid w:val="7D614468"/>
    <w:rsid w:val="7E2342CE"/>
    <w:rsid w:val="7EB515AB"/>
    <w:rsid w:val="7EE23F20"/>
    <w:rsid w:val="7EF51A8D"/>
    <w:rsid w:val="7F315314"/>
    <w:rsid w:val="B7FF9238"/>
    <w:rsid w:val="DFB2703E"/>
    <w:rsid w:val="FE96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ind w:firstLine="1840"/>
    </w:p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napToGrid w:val="0"/>
      <w:spacing w:line="300" w:lineRule="auto"/>
      <w:ind w:firstLine="560" w:firstLineChars="200"/>
    </w:pPr>
    <w:rPr>
      <w:sz w:val="28"/>
    </w:r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Date"/>
    <w:basedOn w:val="1"/>
    <w:next w:val="1"/>
    <w:link w:val="20"/>
    <w:semiHidden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locked/>
    <w:uiPriority w:val="0"/>
    <w:rPr>
      <w:b/>
      <w:bCs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annotation reference"/>
    <w:basedOn w:val="14"/>
    <w:unhideWhenUsed/>
    <w:qFormat/>
    <w:uiPriority w:val="99"/>
    <w:rPr>
      <w:sz w:val="21"/>
      <w:szCs w:val="21"/>
    </w:rPr>
  </w:style>
  <w:style w:type="character" w:customStyle="1" w:styleId="18">
    <w:name w:val="页脚 字符"/>
    <w:basedOn w:val="14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日期 字符"/>
    <w:basedOn w:val="14"/>
    <w:link w:val="6"/>
    <w:semiHidden/>
    <w:qFormat/>
    <w:locked/>
    <w:uiPriority w:val="99"/>
    <w:rPr>
      <w:rFonts w:cs="Times New Roman"/>
      <w:kern w:val="2"/>
      <w:sz w:val="22"/>
      <w:szCs w:val="22"/>
    </w:rPr>
  </w:style>
  <w:style w:type="paragraph" w:customStyle="1" w:styleId="21">
    <w:name w:val="列表段落1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4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3">
    <w:name w:val="Char Char Char Char Char Char Char"/>
    <w:basedOn w:val="1"/>
    <w:qFormat/>
    <w:uiPriority w:val="99"/>
    <w:rPr>
      <w:rFonts w:ascii="Times New Roman" w:hAnsi="Times New Roman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8964</Words>
  <Characters>9284</Characters>
  <Lines>1</Lines>
  <Paragraphs>1</Paragraphs>
  <TotalTime>14</TotalTime>
  <ScaleCrop>false</ScaleCrop>
  <LinksUpToDate>false</LinksUpToDate>
  <CharactersWithSpaces>9365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2019-04-25T09:22:00Z</dcterms:created>
  <dc:creator>zhong shaoping</dc:creator>
  <cp:lastModifiedBy>yms</cp:lastModifiedBy>
  <cp:lastPrinted>2022-09-14T03:03:00Z</cp:lastPrinted>
  <dcterms:modified xsi:type="dcterms:W3CDTF">2022-11-17T08:34:48Z</dcterms:modified>
  <dc:title>关于进一步加强2019年市对区“三农”和“基本农田生态保护”财政一般转移支付资金使用管理的指导意见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EEA601E8B5A84AC5AD4C2E4DF816EAF4</vt:lpwstr>
  </property>
</Properties>
</file>