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C0C0C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C0C0C"/>
          <w:kern w:val="0"/>
          <w:sz w:val="36"/>
          <w:szCs w:val="36"/>
          <w:lang w:val="en-US" w:eastAsia="zh-CN"/>
        </w:rPr>
        <w:t>沪上农科（上海）技术转移有限公司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黑体" w:hAnsi="黑体" w:eastAsia="黑体" w:cs="黑体"/>
          <w:color w:val="0C0C0C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C0C0C"/>
          <w:kern w:val="0"/>
          <w:sz w:val="36"/>
          <w:szCs w:val="36"/>
          <w:lang w:val="en-US" w:eastAsia="zh-CN"/>
        </w:rPr>
        <w:t>自主立项</w:t>
      </w:r>
      <w:r>
        <w:rPr>
          <w:rFonts w:hint="eastAsia" w:ascii="黑体" w:hAnsi="黑体" w:eastAsia="黑体" w:cs="黑体"/>
          <w:color w:val="0C0C0C"/>
          <w:kern w:val="0"/>
          <w:sz w:val="36"/>
          <w:szCs w:val="36"/>
        </w:rPr>
        <w:t>研发项目申报指南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</w:rPr>
        <w:t>作为上海市农业科学院成果转化平台，致力于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加快科技成果转化应用。为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</w:rPr>
        <w:t>积极响应健康中国战略，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进一步提高农业科技自主创新能力，深入推进科企合作，按照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公司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自身业务发展方向，实施2023年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</w:rPr>
        <w:t>大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</w:rPr>
        <w:t>健康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lang w:val="en-US" w:eastAsia="zh-CN"/>
        </w:rPr>
        <w:t>自主立项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研发项目。现发布项目申报指南如下：</w:t>
      </w:r>
      <w:r>
        <w:rPr>
          <w:rFonts w:hint="eastAsia" w:ascii="仿宋_GB2312" w:hAnsi="微软雅黑" w:eastAsia="仿宋_GB2312" w:cs="宋体"/>
          <w:color w:val="404040"/>
          <w:w w:val="98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一、指南内容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项目名称：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灵芝健康饮品研发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考核指标：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宋体" w:eastAsia="仿宋_GB2312" w:cs="宋体"/>
          <w:color w:val="0C0C0C"/>
          <w:w w:val="9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1、数量指标：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ascii="仿宋_GB2312" w:hAnsi="Times New Roman" w:eastAsia="仿宋_GB2312" w:cs="Times New Roman"/>
          <w:w w:val="98"/>
          <w:kern w:val="0"/>
          <w:sz w:val="28"/>
          <w:szCs w:val="28"/>
          <w:highlight w:val="none"/>
        </w:rPr>
      </w:pP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</w:rPr>
        <w:t>开发灵芝健康饮品1～2款，形成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  <w:lang w:val="en-US" w:eastAsia="zh-CN"/>
        </w:rPr>
        <w:t>相应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</w:rPr>
        <w:t>完备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  <w:lang w:val="en-US" w:eastAsia="zh-CN"/>
        </w:rPr>
        <w:t>的产品配方、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</w:rPr>
        <w:t>生产工艺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highlight w:val="none"/>
          <w:lang w:val="en-US" w:eastAsia="zh-CN"/>
        </w:rPr>
        <w:t>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、技术指标：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jc w:val="left"/>
        <w:textAlignment w:val="auto"/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</w:rPr>
        <w:t>产品稳定性：产品在常温保存条件下，灵芝活性成分含量应保持稳定。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jc w:val="left"/>
        <w:textAlignment w:val="auto"/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</w:rPr>
        <w:t>口感与风味：产品应具备相应的口感与风味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lang w:val="en-US" w:eastAsia="zh-CN"/>
        </w:rPr>
        <w:t>符合露酒标准。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jc w:val="left"/>
        <w:textAlignment w:val="auto"/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w w:val="98"/>
          <w:kern w:val="0"/>
          <w:sz w:val="28"/>
          <w:szCs w:val="28"/>
          <w:lang w:val="en-US" w:eastAsia="zh-CN"/>
        </w:rPr>
        <w:t>产品的独特性：相关产品符合露酒的国家标准，并符合上市要求。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实施期限：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不超过1年。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hint="eastAsia" w:ascii="仿宋_GB2312" w:hAnsi="微软雅黑" w:eastAsia="仿宋_GB2312" w:cs="宋体"/>
          <w:color w:val="404040"/>
          <w:w w:val="98"/>
          <w:kern w:val="0"/>
          <w:szCs w:val="21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  <w:highlight w:val="none"/>
        </w:rPr>
        <w:t>资金额度：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hint="default" w:ascii="仿宋_GB2312" w:hAnsi="微软雅黑" w:eastAsia="仿宋_GB2312" w:cs="宋体"/>
          <w:color w:val="404040"/>
          <w:w w:val="98"/>
          <w:kern w:val="0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  <w:highlight w:val="none"/>
        </w:rPr>
        <w:t>资金来源：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移有限公司。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hint="eastAsia" w:ascii="仿宋_GB2312" w:hAnsi="微软雅黑" w:eastAsia="仿宋_GB2312" w:cs="宋体"/>
          <w:color w:val="404040"/>
          <w:w w:val="98"/>
          <w:kern w:val="0"/>
          <w:szCs w:val="21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  <w:highlight w:val="none"/>
        </w:rPr>
        <w:t>资金使用方式：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由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全额划拨至项目承担单位，以横向项目形式开展。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二、申报须知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（一）申报要求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1、项目申报单位应是中国境内注册登记的法人或其他组织，其他国内法人或组织可作为协作单位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参与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申报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2、支持国内科研院所、高校、技术推广、企业等单位单独或联合申报。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3、申报单位应具有一定的研究开发能力，有较好的前期研究基础，具有与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val="en-US"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内容相关的专业研究团队、研究开发设备设施等基础条件。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4、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申报经费应根据研究内容和目标确定，并合理使用。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5、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负责人须为申报单位正式在职人员，须具有博士学位或中级以上（含中级）专业技术职称。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6、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申报单位、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负责人和参与人应当符合科研诚信管理要求。负责人应承诺所提交材料真实性，申报单位对申请人的申报资格负责，并对申报材料的真实性和完整性进行审核，不得提交有涉密内容的项目申请。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宋体" w:eastAsia="仿宋_GB2312" w:cs="宋体"/>
          <w:color w:val="0C0C0C"/>
          <w:w w:val="9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7、项目申报材料中，申报人员应签章，申报单位应审核签章。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8、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经费预算编制等应当真实、合理，符合《上海市科研项目经费使用管理办法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eastAsia="zh-CN"/>
        </w:rPr>
        <w:t>》、《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上海科立特农科（集团）有限公司科研项目管理办法》等有关要求。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（二）申报方式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1.项目申报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宋体" w:eastAsia="仿宋_GB2312" w:cs="宋体"/>
          <w:color w:val="0C0C0C"/>
          <w:w w:val="9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下载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可行性报告格式并逐项填报。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填报时间：202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日至202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2.材料报送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所有书面材料请打印、签字盖章后，一式六份，在规定受理时间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内送达至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，同时递交电子版,文件电子版发送至klt@saas.sh.cn。未在规定时间内报送材料的或纸质材料与电子版提交材料不一致的，视为无效申报且不得进入后续评审。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材料受理时间：202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日至20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02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04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材料受理地址：上海市闵行区北翟路2901号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科立特集团办公室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  <w:shd w:val="clear" w:color="auto" w:fill="FFFFFF"/>
        </w:rPr>
        <w:t>3.形式审查与评审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shd w:val="clear" w:color="auto" w:fill="FFFFFF"/>
        </w:rPr>
        <w:t>在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shd w:val="clear" w:color="auto" w:fill="FFFFFF"/>
        </w:rPr>
        <w:t>材料受理之后，根据申报要求及相关规定对申报材料进行形式审查，形式审查不通过的视为无效申报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shd w:val="clear" w:color="auto" w:fill="FFFFFF"/>
        </w:rPr>
        <w:t>，对有效申报材料组织专家进行评审。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  <w:highlight w:val="none"/>
          <w:shd w:val="clear" w:color="auto" w:fill="FFFFFF"/>
        </w:rPr>
        <w:t>4.立项公示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shd w:val="clear" w:color="auto" w:fill="FFFFFF"/>
        </w:rPr>
        <w:t>将向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shd w:val="clear" w:color="auto" w:fill="FFFFFF"/>
        </w:rPr>
        <w:t>社会公示拟立项项目结果，接受公众异议。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（三）经费和项目管理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  <w:highlight w:val="yellow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1.项目主持人在接到立项通知后，应按批准金额、研究年限以及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评审意见，在5天内填好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工作计划表，与依托单位及我司签订协议，并交依托单位审核备案。自项目实施之日起，项目主持人半年提交一次工作进展和经费使用情况报告。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2.资助经费一次核定，单独建帐、单独核算、专款专用。项目到期后结余经费归还资助单位。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.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有权对资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助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研究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进展和经费使用情况进行检查，对以下情形将中止资助。（1）批准后半年内未按计划开展工作，或未按时提交工作计划；（2）无故中断研究；（3）无故延长工作期限；（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4）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项目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逾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期3个月未取得任何结果；（5）无力继续完成任务；（6）经费使用不当者。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（四）项目验收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200"/>
        <w:textAlignment w:val="auto"/>
        <w:rPr>
          <w:rFonts w:ascii="仿宋_GB2312" w:hAnsi="微软雅黑" w:eastAsia="仿宋_GB2312" w:cs="宋体"/>
          <w:color w:val="404040"/>
          <w:w w:val="98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项目结束一个月前，项目主持人向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提出验收申请，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组织专家对项目进行验收。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项目所形成的全部知识产权按照沪上农科（上海）技术转移有限公司70%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和研究者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所在单位30%共同所有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，详细情况由合作双方在协议中约定。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0" w:firstLineChars="200"/>
        <w:textAlignment w:val="auto"/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C0C0C"/>
          <w:w w:val="98"/>
          <w:kern w:val="0"/>
          <w:sz w:val="28"/>
          <w:szCs w:val="28"/>
        </w:rPr>
        <w:t>三、联系方式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default" w:ascii="仿宋_GB2312" w:hAnsi="宋体" w:eastAsia="仿宋_GB2312" w:cs="宋体"/>
          <w:color w:val="0C0C0C"/>
          <w:w w:val="98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咨询电话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</w:rPr>
        <w:t>：021-6220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8370    18917269887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360" w:lineRule="auto"/>
        <w:ind w:firstLine="420" w:firstLineChars="0"/>
        <w:jc w:val="left"/>
        <w:textAlignment w:val="auto"/>
        <w:rPr>
          <w:rFonts w:hint="default" w:ascii="仿宋_GB2312" w:hAnsi="微软雅黑" w:eastAsia="仿宋_GB2312" w:cs="宋体"/>
          <w:color w:val="404040"/>
          <w:w w:val="98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</w:rPr>
        <w:t>项目联系人：</w:t>
      </w: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lang w:val="en-US" w:eastAsia="zh-CN"/>
        </w:rPr>
        <w:t>臧晓韵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right"/>
        <w:textAlignment w:val="auto"/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沪上农科（上海）技术转移有限公司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right"/>
        <w:textAlignment w:val="auto"/>
        <w:rPr>
          <w:rFonts w:hint="default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C0C0C"/>
          <w:w w:val="98"/>
          <w:kern w:val="0"/>
          <w:sz w:val="28"/>
          <w:szCs w:val="28"/>
          <w:highlight w:val="none"/>
          <w:lang w:val="en-US" w:eastAsia="zh-CN"/>
        </w:rPr>
        <w:t>2024年01月22日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B88926"/>
    <w:multiLevelType w:val="singleLevel"/>
    <w:tmpl w:val="6CB8892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zNGU2ZWUwYTc0ZjI3YjVkN2E2NWY5NWUxZjg1NjkifQ=="/>
  </w:docVars>
  <w:rsids>
    <w:rsidRoot w:val="006B568B"/>
    <w:rsid w:val="000D6A51"/>
    <w:rsid w:val="002035B2"/>
    <w:rsid w:val="00216469"/>
    <w:rsid w:val="002A36A8"/>
    <w:rsid w:val="00344E09"/>
    <w:rsid w:val="0035374A"/>
    <w:rsid w:val="00485C8D"/>
    <w:rsid w:val="005416D7"/>
    <w:rsid w:val="006B568B"/>
    <w:rsid w:val="00877060"/>
    <w:rsid w:val="009D2CBE"/>
    <w:rsid w:val="00A95DA8"/>
    <w:rsid w:val="00AA348B"/>
    <w:rsid w:val="00DF0670"/>
    <w:rsid w:val="00FB0031"/>
    <w:rsid w:val="04656479"/>
    <w:rsid w:val="04AB649F"/>
    <w:rsid w:val="125C6D99"/>
    <w:rsid w:val="13392CAD"/>
    <w:rsid w:val="135D0336"/>
    <w:rsid w:val="14B22D17"/>
    <w:rsid w:val="159B1DA4"/>
    <w:rsid w:val="15AF66B2"/>
    <w:rsid w:val="1D84721B"/>
    <w:rsid w:val="21611A12"/>
    <w:rsid w:val="23F81540"/>
    <w:rsid w:val="23FE7C89"/>
    <w:rsid w:val="2490200B"/>
    <w:rsid w:val="2A402574"/>
    <w:rsid w:val="3336425E"/>
    <w:rsid w:val="341B073D"/>
    <w:rsid w:val="3A425D29"/>
    <w:rsid w:val="3B726347"/>
    <w:rsid w:val="40E85247"/>
    <w:rsid w:val="48E26769"/>
    <w:rsid w:val="49705F0F"/>
    <w:rsid w:val="4DCC58B5"/>
    <w:rsid w:val="4E28397B"/>
    <w:rsid w:val="544F3B03"/>
    <w:rsid w:val="54AA6B33"/>
    <w:rsid w:val="58D06EF5"/>
    <w:rsid w:val="5CC9667B"/>
    <w:rsid w:val="5D824DF6"/>
    <w:rsid w:val="5F0140EF"/>
    <w:rsid w:val="67CD6853"/>
    <w:rsid w:val="68330148"/>
    <w:rsid w:val="6AEC6564"/>
    <w:rsid w:val="6B672863"/>
    <w:rsid w:val="715E14B1"/>
    <w:rsid w:val="773E1793"/>
    <w:rsid w:val="78A02A5A"/>
    <w:rsid w:val="7B3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w-crumbs-category"/>
    <w:basedOn w:val="7"/>
    <w:autoRedefine/>
    <w:qFormat/>
    <w:uiPriority w:val="0"/>
  </w:style>
  <w:style w:type="character" w:customStyle="1" w:styleId="12">
    <w:name w:val="w-crumbs-caption"/>
    <w:basedOn w:val="7"/>
    <w:autoRedefine/>
    <w:qFormat/>
    <w:uiPriority w:val="0"/>
  </w:style>
  <w:style w:type="paragraph" w:customStyle="1" w:styleId="13">
    <w:name w:val="1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15"/>
    <w:basedOn w:val="7"/>
    <w:autoRedefine/>
    <w:qFormat/>
    <w:uiPriority w:val="0"/>
  </w:style>
  <w:style w:type="paragraph" w:customStyle="1" w:styleId="15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1489</Characters>
  <Lines>12</Lines>
  <Paragraphs>3</Paragraphs>
  <TotalTime>45</TotalTime>
  <ScaleCrop>false</ScaleCrop>
  <LinksUpToDate>false</LinksUpToDate>
  <CharactersWithSpaces>1747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2023-12-18T07:40:00Z</dcterms:created>
  <dc:creator>Microsoft 帐户</dc:creator>
  <cp:lastModifiedBy>豆豆</cp:lastModifiedBy>
  <cp:lastPrinted>2023-12-25T01:59:00Z</cp:lastPrinted>
  <dcterms:modified xsi:type="dcterms:W3CDTF">2024-01-22T08:25:51Z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C79F32DFBF254F509AF70B558AD57AE7_12</vt:lpwstr>
  </property>
</Properties>
</file>